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9F4FA2" w14:textId="74D6024A" w:rsidR="00761A98" w:rsidRDefault="00135A8F">
      <w:pPr>
        <w:pStyle w:val="Standard"/>
        <w:pageBreakBefore/>
        <w:spacing w:before="180" w:after="180"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29DAD66" wp14:editId="7231A00D">
                <wp:simplePos x="0" y="0"/>
                <wp:positionH relativeFrom="page">
                  <wp:posOffset>982345</wp:posOffset>
                </wp:positionH>
                <wp:positionV relativeFrom="paragraph">
                  <wp:posOffset>106680</wp:posOffset>
                </wp:positionV>
                <wp:extent cx="5589905" cy="309245"/>
                <wp:effectExtent l="10795" t="11430" r="9525" b="12700"/>
                <wp:wrapSquare wrapText="bothSides"/>
                <wp:docPr id="899232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8F93" w14:textId="77777777" w:rsidR="00761A98" w:rsidRDefault="00761A98">
                            <w:pPr>
                              <w:pStyle w:val="af4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【附件十二】期中（末）審查意見修正回復對照表(置於目錄前)</w:t>
                            </w:r>
                          </w:p>
                          <w:p w14:paraId="29B3CC87" w14:textId="77777777" w:rsidR="00761A98" w:rsidRDefault="00761A98">
                            <w:pPr>
                              <w:pStyle w:val="af4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DA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35pt;margin-top:8.4pt;width:440.15pt;height:24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" strokeweight=".05pt">
                <v:textbox inset="7.25pt,3.65pt,7.25pt,3.65pt">
                  <w:txbxContent>
                    <w:p w14:paraId="257F8F93" w14:textId="77777777" w:rsidR="00761A98" w:rsidRDefault="00761A98">
                      <w:pPr>
                        <w:pStyle w:val="af4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【附件十二】期中（末）審查意見修正回復對照表(置於目錄前)</w:t>
                      </w:r>
                    </w:p>
                    <w:p w14:paraId="29B3CC87" w14:textId="77777777" w:rsidR="00761A98" w:rsidRDefault="00761A98">
                      <w:pPr>
                        <w:pStyle w:val="af4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283"/>
        <w:gridCol w:w="5230"/>
        <w:gridCol w:w="1150"/>
      </w:tblGrid>
      <w:tr w:rsidR="00761A98" w14:paraId="7A77723A" w14:textId="77777777">
        <w:trPr>
          <w:trHeight w:val="538"/>
        </w:trPr>
        <w:tc>
          <w:tcPr>
            <w:tcW w:w="9499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0BF0033" w14:textId="77777777" w:rsidR="00761A98" w:rsidRDefault="00761A98">
            <w:pPr>
              <w:pStyle w:val="af"/>
              <w:spacing w:line="360" w:lineRule="auto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期中（末）審查意見修正回復對照</w:t>
            </w:r>
          </w:p>
        </w:tc>
      </w:tr>
      <w:tr w:rsidR="00761A98" w14:paraId="6FF6A32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602C5" w14:textId="77777777" w:rsidR="00761A98" w:rsidRDefault="00761A98">
            <w:pPr>
              <w:pStyle w:val="af"/>
              <w:spacing w:line="400" w:lineRule="exact"/>
            </w:pPr>
            <w:r>
              <w:rPr>
                <w:rFonts w:eastAsia="標楷體"/>
                <w:bCs/>
                <w:sz w:val="28"/>
                <w:szCs w:val="28"/>
              </w:rPr>
              <w:t>項次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52865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審查意見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B6297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計畫修正說明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B201AA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頁數</w:t>
            </w:r>
          </w:p>
        </w:tc>
      </w:tr>
      <w:tr w:rsidR="00761A98" w14:paraId="73376D99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F2667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11FA7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8022A" w14:textId="77777777" w:rsidR="00761A98" w:rsidRDefault="00761A98">
            <w:pPr>
              <w:pStyle w:val="af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D37DD73" w14:textId="77777777" w:rsidR="00761A98" w:rsidRDefault="00761A98">
            <w:pPr>
              <w:pStyle w:val="af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61A98" w14:paraId="34FB91FA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48B35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D3737" w14:textId="77777777" w:rsidR="00761A98" w:rsidRDefault="00761A98">
            <w:pPr>
              <w:pStyle w:val="af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BECFB" w14:textId="77777777" w:rsidR="00761A98" w:rsidRDefault="00761A98">
            <w:pPr>
              <w:pStyle w:val="af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48F3545" w14:textId="77777777" w:rsidR="00761A98" w:rsidRDefault="00761A98">
            <w:pPr>
              <w:pStyle w:val="af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61A98" w14:paraId="77165BFB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BEBAD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D2D1A" w14:textId="77777777" w:rsidR="00761A98" w:rsidRDefault="00761A98">
            <w:pPr>
              <w:pStyle w:val="af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835CF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5A50751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61A98" w14:paraId="6AB9E674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396CF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D48F5" w14:textId="77777777" w:rsidR="00761A98" w:rsidRDefault="00761A98">
            <w:pPr>
              <w:pStyle w:val="af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4BCF7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6022108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61A98" w14:paraId="11F8F9AE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AD2F8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C6457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214FB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99B9D93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61A98" w14:paraId="0345EEE0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F438F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F7307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CC895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EF7CB79" w14:textId="77777777" w:rsidR="00761A98" w:rsidRDefault="00761A98">
            <w:pPr>
              <w:pStyle w:val="af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61A98" w14:paraId="1DE00CC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99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E9BC0D" w14:textId="77777777" w:rsidR="00761A98" w:rsidRDefault="00761A98">
            <w:pPr>
              <w:pStyle w:val="af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可請自行增列</w:t>
            </w:r>
          </w:p>
        </w:tc>
      </w:tr>
    </w:tbl>
    <w:p w14:paraId="3757E94B" w14:textId="77777777" w:rsidR="00761A98" w:rsidRDefault="00761A98">
      <w:pPr>
        <w:pStyle w:val="af"/>
      </w:pPr>
    </w:p>
    <w:sectPr w:rsidR="00761A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D20A0" w14:textId="77777777" w:rsidR="00D03E5E" w:rsidRDefault="00D03E5E">
      <w:r>
        <w:separator/>
      </w:r>
    </w:p>
  </w:endnote>
  <w:endnote w:type="continuationSeparator" w:id="0">
    <w:p w14:paraId="1114FBA5" w14:textId="77777777" w:rsidR="00D03E5E" w:rsidRDefault="00D0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微軟正黑體"/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3F59E" w14:textId="77777777" w:rsidR="00761A98" w:rsidRDefault="00761A98">
    <w:pPr>
      <w:pStyle w:val="af5"/>
      <w:jc w:val="center"/>
    </w:pPr>
  </w:p>
  <w:p w14:paraId="4E22A0BD" w14:textId="77777777" w:rsidR="00761A98" w:rsidRDefault="00761A9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1CD91" w14:textId="77777777" w:rsidR="00761A98" w:rsidRDefault="00761A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CF162" w14:textId="77777777" w:rsidR="00D03E5E" w:rsidRDefault="00D03E5E">
      <w:r>
        <w:separator/>
      </w:r>
    </w:p>
  </w:footnote>
  <w:footnote w:type="continuationSeparator" w:id="0">
    <w:p w14:paraId="76FC639E" w14:textId="77777777" w:rsidR="00D03E5E" w:rsidRDefault="00D0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E2CA8" w14:textId="77777777" w:rsidR="00761A98" w:rsidRDefault="00761A98">
    <w:pPr>
      <w:pStyle w:val="af4"/>
      <w:jc w:val="center"/>
    </w:pPr>
  </w:p>
  <w:p w14:paraId="6B24026B" w14:textId="77777777" w:rsidR="00761A98" w:rsidRDefault="00761A9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08FC1" w14:textId="77777777" w:rsidR="00761A98" w:rsidRDefault="00761A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241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2E"/>
    <w:rsid w:val="000C332E"/>
    <w:rsid w:val="00135A8F"/>
    <w:rsid w:val="00761A98"/>
    <w:rsid w:val="00D0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98A00D"/>
  <w15:chartTrackingRefBased/>
  <w15:docId w15:val="{B71A9F4A-B2EE-4E6A-9993-452D3AB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styleId="ad">
    <w:name w:val="Hyperlink"/>
    <w:rPr>
      <w:color w:val="0563C1"/>
      <w:u w:val="single"/>
    </w:rPr>
  </w:style>
  <w:style w:type="character" w:customStyle="1" w:styleId="WWCharLFO56LVL1">
    <w:name w:val="WW_CharLFO56LVL1"/>
    <w:rPr>
      <w:rFonts w:eastAsia="標楷體"/>
      <w:sz w:val="28"/>
      <w:szCs w:val="28"/>
      <w:lang w:val="en-US"/>
    </w:rPr>
  </w:style>
  <w:style w:type="character" w:customStyle="1" w:styleId="WWCharLFO58LVL1">
    <w:name w:val="WW_CharLFO58LVL1"/>
    <w:rPr>
      <w:rFonts w:ascii="標楷體" w:hAnsi="標楷體"/>
      <w:sz w:val="28"/>
      <w:szCs w:val="28"/>
    </w:rPr>
  </w:style>
  <w:style w:type="character" w:customStyle="1" w:styleId="WWCharLFO67LVL1">
    <w:name w:val="WW_CharLFO67LVL1"/>
    <w:rPr>
      <w:rFonts w:ascii="標楷體" w:hAnsi="標楷體"/>
      <w:sz w:val="28"/>
      <w:szCs w:val="28"/>
    </w:rPr>
  </w:style>
  <w:style w:type="character" w:customStyle="1" w:styleId="WWCharLFO73LVL1">
    <w:name w:val="WW_CharLFO73LVL1"/>
    <w:rPr>
      <w:rFonts w:ascii="標楷體" w:hAnsi="標楷體" w:cs="標楷體"/>
    </w:rPr>
  </w:style>
  <w:style w:type="character" w:customStyle="1" w:styleId="WWCharLFO76LVL1">
    <w:name w:val="WW_CharLFO76LVL1"/>
    <w:rPr>
      <w:rFonts w:ascii="標楷體" w:hAnsi="標楷體"/>
      <w:sz w:val="28"/>
      <w:szCs w:val="28"/>
    </w:rPr>
  </w:style>
  <w:style w:type="character" w:customStyle="1" w:styleId="WWCharLFO81LVL1">
    <w:name w:val="WW_CharLFO81LVL1"/>
    <w:rPr>
      <w:rFonts w:ascii="標楷體" w:hAnsi="標楷體"/>
      <w:color w:val="000000"/>
      <w:sz w:val="28"/>
    </w:rPr>
  </w:style>
  <w:style w:type="character" w:customStyle="1" w:styleId="WWCharLFO84LVL1">
    <w:name w:val="WW_CharLFO84LVL1"/>
    <w:rPr>
      <w:rFonts w:ascii="Wingdings" w:hAnsi="Wingdings" w:cs="Wingdings"/>
      <w:color w:val="808080"/>
      <w:sz w:val="24"/>
    </w:rPr>
  </w:style>
  <w:style w:type="character" w:customStyle="1" w:styleId="WWCharLFO84LVL2">
    <w:name w:val="WW_CharLFO84LVL2"/>
    <w:rPr>
      <w:rFonts w:ascii="Wingdings" w:hAnsi="Wingdings" w:cs="Wingdings"/>
    </w:rPr>
  </w:style>
  <w:style w:type="character" w:customStyle="1" w:styleId="WWCharLFO84LVL3">
    <w:name w:val="WW_CharLFO84LVL3"/>
    <w:rPr>
      <w:rFonts w:ascii="Wingdings" w:hAnsi="Wingdings" w:cs="Wingdings"/>
    </w:rPr>
  </w:style>
  <w:style w:type="character" w:customStyle="1" w:styleId="WWCharLFO84LVL4">
    <w:name w:val="WW_CharLFO84LVL4"/>
    <w:rPr>
      <w:rFonts w:ascii="Wingdings" w:hAnsi="Wingdings" w:cs="Wingdings"/>
    </w:rPr>
  </w:style>
  <w:style w:type="character" w:customStyle="1" w:styleId="WWCharLFO84LVL5">
    <w:name w:val="WW_CharLFO84LVL5"/>
    <w:rPr>
      <w:rFonts w:ascii="Wingdings" w:hAnsi="Wingdings" w:cs="Wingdings"/>
    </w:rPr>
  </w:style>
  <w:style w:type="character" w:customStyle="1" w:styleId="WWCharLFO84LVL6">
    <w:name w:val="WW_CharLFO84LVL6"/>
    <w:rPr>
      <w:rFonts w:ascii="Wingdings" w:hAnsi="Wingdings" w:cs="Wingdings"/>
    </w:rPr>
  </w:style>
  <w:style w:type="character" w:customStyle="1" w:styleId="WWCharLFO84LVL7">
    <w:name w:val="WW_CharLFO84LVL7"/>
    <w:rPr>
      <w:rFonts w:ascii="Wingdings" w:hAnsi="Wingdings" w:cs="Wingdings"/>
    </w:rPr>
  </w:style>
  <w:style w:type="character" w:customStyle="1" w:styleId="WWCharLFO84LVL8">
    <w:name w:val="WW_CharLFO84LVL8"/>
    <w:rPr>
      <w:rFonts w:ascii="Wingdings" w:hAnsi="Wingdings" w:cs="Wingdings"/>
    </w:rPr>
  </w:style>
  <w:style w:type="character" w:customStyle="1" w:styleId="WWCharLFO84LVL9">
    <w:name w:val="WW_CharLFO84LVL9"/>
    <w:rPr>
      <w:rFonts w:ascii="Wingdings" w:hAnsi="Wingdings" w:cs="Wingdings"/>
    </w:rPr>
  </w:style>
  <w:style w:type="character" w:customStyle="1" w:styleId="WWCharLFO86LVL1">
    <w:name w:val="WW_CharLFO86LVL1"/>
    <w:rPr>
      <w:rFonts w:ascii="標楷體" w:hAnsi="標楷體" w:cs="標楷體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6LVL1">
    <w:name w:val="WW_CharLFO96LVL1"/>
    <w:rPr>
      <w:rFonts w:ascii="標楷體" w:hAnsi="標楷體"/>
      <w:sz w:val="28"/>
      <w:szCs w:val="28"/>
    </w:rPr>
  </w:style>
  <w:style w:type="character" w:customStyle="1" w:styleId="WWCharLFO98LVL1">
    <w:name w:val="WW_CharLFO98LVL1"/>
    <w:rPr>
      <w:rFonts w:ascii="標楷體" w:eastAsia="標楷體" w:hAnsi="標楷體"/>
      <w:sz w:val="28"/>
    </w:rPr>
  </w:style>
  <w:style w:type="character" w:customStyle="1" w:styleId="WWCharLFO103LVL1">
    <w:name w:val="WW_CharLFO103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07LVL1">
    <w:name w:val="WW_CharLFO107LVL1"/>
    <w:rPr>
      <w:rFonts w:eastAsia="標楷體"/>
      <w:sz w:val="28"/>
    </w:rPr>
  </w:style>
  <w:style w:type="character" w:customStyle="1" w:styleId="WWCharLFO120LVL1">
    <w:name w:val="WW_CharLFO120LVL1"/>
    <w:rPr>
      <w:rFonts w:ascii="標楷體" w:eastAsia="標楷體" w:hAnsi="標楷體" w:cs="標楷體"/>
      <w:color w:val="000000"/>
      <w:sz w:val="28"/>
    </w:rPr>
  </w:style>
  <w:style w:type="character" w:customStyle="1" w:styleId="WWCharLFO126LVL1">
    <w:name w:val="WW_CharLFO126LVL1"/>
    <w:rPr>
      <w:rFonts w:ascii="標楷體" w:hAnsi="標楷體"/>
      <w:sz w:val="28"/>
      <w:szCs w:val="28"/>
    </w:rPr>
  </w:style>
  <w:style w:type="paragraph" w:styleId="ae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Textbody"/>
    <w:rPr>
      <w:rFonts w:cs="Lucida Sans"/>
    </w:rPr>
  </w:style>
  <w:style w:type="paragraph" w:styleId="af1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2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3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Standard"/>
    <w:pPr>
      <w:snapToGrid w:val="0"/>
    </w:pPr>
    <w:rPr>
      <w:sz w:val="20"/>
      <w:szCs w:val="20"/>
    </w:rPr>
  </w:style>
  <w:style w:type="paragraph" w:styleId="af5">
    <w:name w:val="footer"/>
    <w:basedOn w:val="Standard"/>
    <w:pPr>
      <w:snapToGrid w:val="0"/>
    </w:pPr>
    <w:rPr>
      <w:sz w:val="20"/>
      <w:szCs w:val="20"/>
    </w:rPr>
  </w:style>
  <w:style w:type="paragraph" w:styleId="af6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8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9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a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b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c">
    <w:name w:val="annotation text"/>
    <w:basedOn w:val="Standard"/>
  </w:style>
  <w:style w:type="paragraph" w:styleId="afd">
    <w:name w:val="annotation subject"/>
    <w:basedOn w:val="afc"/>
    <w:next w:val="afc"/>
    <w:rPr>
      <w:b/>
      <w:bCs/>
    </w:rPr>
  </w:style>
  <w:style w:type="paragraph" w:customStyle="1" w:styleId="afe">
    <w:name w:val="外框內容"/>
    <w:basedOn w:val="Standard"/>
  </w:style>
  <w:style w:type="paragraph" w:customStyle="1" w:styleId="aff">
    <w:name w:val="表格內容"/>
    <w:basedOn w:val="Standard"/>
    <w:pPr>
      <w:suppressLineNumbers/>
    </w:pPr>
  </w:style>
  <w:style w:type="paragraph" w:customStyle="1" w:styleId="aff0">
    <w:name w:val="表格標題"/>
    <w:basedOn w:val="aff"/>
    <w:pPr>
      <w:jc w:val="center"/>
    </w:pPr>
    <w:rPr>
      <w:b/>
      <w:bCs/>
    </w:rPr>
  </w:style>
  <w:style w:type="paragraph" w:styleId="aff1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III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客服陳小姐 新創採購-資策會</cp:lastModifiedBy>
  <cp:revision>2</cp:revision>
  <cp:lastPrinted>2024-03-27T02:09:00Z</cp:lastPrinted>
  <dcterms:created xsi:type="dcterms:W3CDTF">2024-05-08T09:00:00Z</dcterms:created>
  <dcterms:modified xsi:type="dcterms:W3CDTF">2024-05-08T09:00:00Z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